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52F" w:rsidRPr="00A178DE" w:rsidRDefault="0050152F" w:rsidP="0050152F">
      <w:pPr>
        <w:jc w:val="center"/>
        <w:rPr>
          <w:rFonts w:ascii="Castellar" w:hAnsi="Castellar"/>
          <w:b/>
          <w:bCs/>
        </w:rPr>
      </w:pPr>
      <w:r w:rsidRPr="00A178DE">
        <w:rPr>
          <w:rFonts w:ascii="Castellar" w:hAnsi="Castellar"/>
          <w:b/>
          <w:bCs/>
        </w:rPr>
        <w:t xml:space="preserve">L’ASPTT PAU BADMINTON ORGANISE </w:t>
      </w:r>
    </w:p>
    <w:p w:rsidR="0050152F" w:rsidRPr="00A178DE" w:rsidRDefault="0050152F" w:rsidP="0050152F">
      <w:pPr>
        <w:jc w:val="center"/>
        <w:rPr>
          <w:rFonts w:ascii="Castellar" w:hAnsi="Castellar"/>
        </w:rPr>
      </w:pPr>
    </w:p>
    <w:p w:rsidR="0050152F" w:rsidRPr="00A178DE" w:rsidRDefault="0050152F" w:rsidP="0050152F">
      <w:pPr>
        <w:jc w:val="center"/>
        <w:rPr>
          <w:rFonts w:ascii="Castellar" w:hAnsi="Castellar"/>
          <w:b/>
          <w:bCs/>
          <w:sz w:val="36"/>
          <w:szCs w:val="36"/>
        </w:rPr>
      </w:pPr>
      <w:r w:rsidRPr="00A178DE">
        <w:rPr>
          <w:rFonts w:ascii="Castellar" w:hAnsi="Castellar"/>
          <w:b/>
          <w:bCs/>
          <w:sz w:val="36"/>
          <w:szCs w:val="36"/>
        </w:rPr>
        <w:t xml:space="preserve">Les </w:t>
      </w:r>
      <w:r w:rsidR="006C5275">
        <w:rPr>
          <w:rFonts w:ascii="Castellar" w:hAnsi="Castellar"/>
          <w:b/>
          <w:bCs/>
          <w:sz w:val="36"/>
          <w:szCs w:val="36"/>
        </w:rPr>
        <w:t>6</w:t>
      </w:r>
      <w:r>
        <w:rPr>
          <w:rFonts w:ascii="Castellar" w:hAnsi="Castellar"/>
          <w:b/>
          <w:bCs/>
          <w:sz w:val="36"/>
          <w:szCs w:val="36"/>
        </w:rPr>
        <w:t>è</w:t>
      </w:r>
      <w:r w:rsidRPr="00A178DE">
        <w:rPr>
          <w:rFonts w:ascii="Castellar" w:hAnsi="Castellar"/>
          <w:b/>
          <w:bCs/>
          <w:sz w:val="36"/>
          <w:szCs w:val="36"/>
        </w:rPr>
        <w:t xml:space="preserve"> Plumes Béarnaises</w:t>
      </w:r>
    </w:p>
    <w:p w:rsidR="0050152F" w:rsidRPr="00A178DE" w:rsidRDefault="0050152F" w:rsidP="0050152F">
      <w:pPr>
        <w:jc w:val="center"/>
        <w:rPr>
          <w:rFonts w:ascii="Castellar" w:hAnsi="Castellar"/>
          <w:b/>
          <w:bCs/>
          <w:sz w:val="36"/>
          <w:szCs w:val="36"/>
        </w:rPr>
      </w:pPr>
    </w:p>
    <w:p w:rsidR="0050152F" w:rsidRPr="00A178DE" w:rsidRDefault="0050152F" w:rsidP="0050152F">
      <w:pPr>
        <w:jc w:val="center"/>
        <w:rPr>
          <w:rFonts w:ascii="Castellar" w:hAnsi="Castellar"/>
          <w:b/>
          <w:bCs/>
          <w:sz w:val="36"/>
          <w:szCs w:val="36"/>
        </w:rPr>
      </w:pPr>
      <w:r w:rsidRPr="00A178DE">
        <w:rPr>
          <w:rFonts w:ascii="Castellar" w:hAnsi="Castellar"/>
          <w:b/>
          <w:bCs/>
          <w:sz w:val="36"/>
          <w:szCs w:val="36"/>
        </w:rPr>
        <w:t xml:space="preserve">LES </w:t>
      </w:r>
      <w:r w:rsidR="009053FB">
        <w:rPr>
          <w:rFonts w:ascii="Castellar" w:hAnsi="Castellar"/>
          <w:b/>
          <w:bCs/>
          <w:sz w:val="36"/>
          <w:szCs w:val="36"/>
        </w:rPr>
        <w:t>1</w:t>
      </w:r>
      <w:r w:rsidR="006C5275">
        <w:rPr>
          <w:rFonts w:ascii="Castellar" w:hAnsi="Castellar"/>
          <w:b/>
          <w:bCs/>
          <w:sz w:val="36"/>
          <w:szCs w:val="36"/>
        </w:rPr>
        <w:t>8</w:t>
      </w:r>
      <w:r w:rsidR="009053FB">
        <w:rPr>
          <w:rFonts w:ascii="Castellar" w:hAnsi="Castellar"/>
          <w:b/>
          <w:bCs/>
          <w:sz w:val="36"/>
          <w:szCs w:val="36"/>
        </w:rPr>
        <w:t xml:space="preserve"> et 1</w:t>
      </w:r>
      <w:r w:rsidR="006C5275">
        <w:rPr>
          <w:rFonts w:ascii="Castellar" w:hAnsi="Castellar"/>
          <w:b/>
          <w:bCs/>
          <w:sz w:val="36"/>
          <w:szCs w:val="36"/>
        </w:rPr>
        <w:t>9</w:t>
      </w:r>
      <w:r w:rsidR="005837DC">
        <w:rPr>
          <w:rFonts w:ascii="Castellar" w:hAnsi="Castellar"/>
          <w:b/>
          <w:bCs/>
          <w:sz w:val="36"/>
          <w:szCs w:val="36"/>
        </w:rPr>
        <w:t xml:space="preserve"> </w:t>
      </w:r>
      <w:proofErr w:type="spellStart"/>
      <w:r w:rsidR="005837DC">
        <w:rPr>
          <w:rFonts w:ascii="Castellar" w:hAnsi="Castellar"/>
          <w:b/>
          <w:bCs/>
          <w:sz w:val="36"/>
          <w:szCs w:val="36"/>
        </w:rPr>
        <w:t>decembre</w:t>
      </w:r>
      <w:proofErr w:type="spellEnd"/>
      <w:r w:rsidRPr="00A178DE">
        <w:rPr>
          <w:rFonts w:ascii="Castellar" w:hAnsi="Castellar"/>
          <w:b/>
          <w:bCs/>
          <w:sz w:val="36"/>
          <w:szCs w:val="36"/>
        </w:rPr>
        <w:t xml:space="preserve"> 20</w:t>
      </w:r>
      <w:r w:rsidR="006C5275">
        <w:rPr>
          <w:rFonts w:ascii="Castellar" w:hAnsi="Castellar"/>
          <w:b/>
          <w:bCs/>
          <w:sz w:val="36"/>
          <w:szCs w:val="36"/>
        </w:rPr>
        <w:t>2</w:t>
      </w:r>
      <w:r w:rsidRPr="00A178DE">
        <w:rPr>
          <w:rFonts w:ascii="Castellar" w:hAnsi="Castellar"/>
          <w:b/>
          <w:bCs/>
          <w:sz w:val="36"/>
          <w:szCs w:val="36"/>
        </w:rPr>
        <w:t xml:space="preserve">1 </w:t>
      </w:r>
    </w:p>
    <w:p w:rsidR="0050152F" w:rsidRDefault="0050152F" w:rsidP="0050152F">
      <w:pPr>
        <w:jc w:val="center"/>
        <w:rPr>
          <w:rFonts w:ascii="Monotype Corsiva" w:hAnsi="Monotype Corsiva"/>
          <w:sz w:val="32"/>
          <w:szCs w:val="32"/>
        </w:rPr>
      </w:pPr>
    </w:p>
    <w:p w:rsidR="0050152F" w:rsidRDefault="0050152F" w:rsidP="0050152F">
      <w:pPr>
        <w:jc w:val="center"/>
        <w:rPr>
          <w:b/>
          <w:bCs/>
          <w:sz w:val="32"/>
          <w:szCs w:val="32"/>
          <w:u w:val="single"/>
        </w:rPr>
      </w:pPr>
      <w:r>
        <w:rPr>
          <w:b/>
          <w:bCs/>
          <w:sz w:val="32"/>
          <w:szCs w:val="32"/>
          <w:u w:val="single"/>
        </w:rPr>
        <w:t>REGLEMENT</w:t>
      </w:r>
    </w:p>
    <w:p w:rsidR="0050152F" w:rsidRDefault="0050152F" w:rsidP="0050152F">
      <w:pPr>
        <w:rPr>
          <w:sz w:val="32"/>
          <w:szCs w:val="32"/>
          <w:u w:val="single"/>
        </w:rPr>
      </w:pPr>
    </w:p>
    <w:p w:rsidR="0050152F" w:rsidRDefault="0050152F" w:rsidP="0050152F">
      <w:pPr>
        <w:rPr>
          <w:b/>
          <w:bCs/>
        </w:rPr>
      </w:pPr>
      <w:r>
        <w:rPr>
          <w:b/>
          <w:bCs/>
        </w:rPr>
        <w:t>Article 1</w:t>
      </w:r>
    </w:p>
    <w:p w:rsidR="0050152F" w:rsidRDefault="0050152F" w:rsidP="0050152F">
      <w:pPr>
        <w:rPr>
          <w:sz w:val="22"/>
          <w:szCs w:val="22"/>
        </w:rPr>
      </w:pPr>
      <w:r>
        <w:rPr>
          <w:sz w:val="20"/>
          <w:szCs w:val="20"/>
        </w:rPr>
        <w:tab/>
      </w:r>
      <w:r>
        <w:rPr>
          <w:sz w:val="22"/>
          <w:szCs w:val="22"/>
        </w:rPr>
        <w:t xml:space="preserve">Toute souscription au tournoi entraîne l’entière acceptation du présent règlement. Tous les participants doivent être en règle avec la </w:t>
      </w:r>
      <w:proofErr w:type="spellStart"/>
      <w:r>
        <w:rPr>
          <w:sz w:val="22"/>
          <w:szCs w:val="22"/>
        </w:rPr>
        <w:t>FFBad</w:t>
      </w:r>
      <w:proofErr w:type="spellEnd"/>
      <w:r>
        <w:rPr>
          <w:sz w:val="22"/>
          <w:szCs w:val="22"/>
        </w:rPr>
        <w:t xml:space="preserve"> et être en possession de leur licence 20</w:t>
      </w:r>
      <w:r w:rsidR="006C5275">
        <w:rPr>
          <w:sz w:val="22"/>
          <w:szCs w:val="22"/>
        </w:rPr>
        <w:t>21</w:t>
      </w:r>
      <w:r>
        <w:rPr>
          <w:sz w:val="22"/>
          <w:szCs w:val="22"/>
        </w:rPr>
        <w:t>/20</w:t>
      </w:r>
      <w:r w:rsidR="00AA7906">
        <w:rPr>
          <w:sz w:val="22"/>
          <w:szCs w:val="22"/>
        </w:rPr>
        <w:t>2</w:t>
      </w:r>
      <w:r w:rsidR="006C5275">
        <w:rPr>
          <w:sz w:val="22"/>
          <w:szCs w:val="22"/>
        </w:rPr>
        <w:t>2</w:t>
      </w:r>
      <w:r w:rsidR="00AA7906">
        <w:rPr>
          <w:sz w:val="22"/>
          <w:szCs w:val="22"/>
        </w:rPr>
        <w:t xml:space="preserve"> </w:t>
      </w:r>
      <w:r>
        <w:rPr>
          <w:sz w:val="22"/>
          <w:szCs w:val="22"/>
        </w:rPr>
        <w:t>le jour du tirage au sort.</w:t>
      </w:r>
    </w:p>
    <w:p w:rsidR="0050152F" w:rsidRDefault="005E5443" w:rsidP="0050152F">
      <w:pPr>
        <w:rPr>
          <w:sz w:val="22"/>
          <w:szCs w:val="22"/>
        </w:rPr>
      </w:pPr>
      <w:r>
        <w:rPr>
          <w:sz w:val="22"/>
          <w:szCs w:val="22"/>
        </w:rPr>
        <w:t>C</w:t>
      </w:r>
      <w:r w:rsidR="0050152F">
        <w:rPr>
          <w:sz w:val="22"/>
          <w:szCs w:val="22"/>
        </w:rPr>
        <w:t>e tournoi</w:t>
      </w:r>
      <w:r>
        <w:rPr>
          <w:sz w:val="22"/>
          <w:szCs w:val="22"/>
        </w:rPr>
        <w:t xml:space="preserve"> seniors</w:t>
      </w:r>
      <w:r w:rsidR="0050152F">
        <w:rPr>
          <w:sz w:val="22"/>
          <w:szCs w:val="22"/>
        </w:rPr>
        <w:t xml:space="preserve"> est ouvert aux catégories </w:t>
      </w:r>
      <w:r w:rsidR="009053FB">
        <w:rPr>
          <w:sz w:val="22"/>
          <w:szCs w:val="22"/>
        </w:rPr>
        <w:t xml:space="preserve">NC, </w:t>
      </w:r>
      <w:r w:rsidR="0050152F">
        <w:rPr>
          <w:sz w:val="22"/>
          <w:szCs w:val="22"/>
        </w:rPr>
        <w:t>P12, P1</w:t>
      </w:r>
      <w:r w:rsidR="00D231EE">
        <w:rPr>
          <w:sz w:val="22"/>
          <w:szCs w:val="22"/>
        </w:rPr>
        <w:t>1, P10, D9, D8, D7, R6, R5, R4, N3</w:t>
      </w:r>
    </w:p>
    <w:p w:rsidR="006C79C2" w:rsidRDefault="006C79C2" w:rsidP="0050152F">
      <w:pPr>
        <w:rPr>
          <w:sz w:val="22"/>
          <w:szCs w:val="22"/>
        </w:rPr>
      </w:pPr>
      <w:r>
        <w:rPr>
          <w:sz w:val="22"/>
          <w:szCs w:val="22"/>
        </w:rPr>
        <w:t>Application de l'article 3.2.5.1</w:t>
      </w:r>
    </w:p>
    <w:p w:rsidR="006C79C2" w:rsidRDefault="006C79C2" w:rsidP="006C79C2">
      <w:pPr>
        <w:autoSpaceDE w:val="0"/>
        <w:autoSpaceDN w:val="0"/>
        <w:adjustRightInd w:val="0"/>
        <w:rPr>
          <w:rFonts w:ascii="Arial" w:eastAsiaTheme="minorHAnsi" w:hAnsi="Arial" w:cs="Arial"/>
          <w:b/>
          <w:bCs/>
          <w:i/>
          <w:iCs/>
          <w:sz w:val="20"/>
          <w:szCs w:val="20"/>
          <w:lang w:eastAsia="en-US"/>
        </w:rPr>
      </w:pPr>
      <w:r>
        <w:rPr>
          <w:rFonts w:ascii="Arial" w:eastAsiaTheme="minorHAnsi" w:hAnsi="Arial" w:cs="Arial"/>
          <w:b/>
          <w:bCs/>
          <w:i/>
          <w:iCs/>
          <w:sz w:val="20"/>
          <w:szCs w:val="20"/>
          <w:lang w:eastAsia="en-US"/>
        </w:rPr>
        <w:t>« Dans un même tableau, le CPPH du mieux classé des participants ne peut pas</w:t>
      </w:r>
    </w:p>
    <w:p w:rsidR="006C79C2" w:rsidRDefault="006C79C2" w:rsidP="006C79C2">
      <w:pPr>
        <w:autoSpaceDE w:val="0"/>
        <w:autoSpaceDN w:val="0"/>
        <w:adjustRightInd w:val="0"/>
        <w:rPr>
          <w:rFonts w:ascii="Arial" w:eastAsiaTheme="minorHAnsi" w:hAnsi="Arial" w:cs="Arial"/>
          <w:i/>
          <w:iCs/>
          <w:sz w:val="20"/>
          <w:szCs w:val="20"/>
          <w:lang w:eastAsia="en-US"/>
        </w:rPr>
      </w:pPr>
      <w:proofErr w:type="gramStart"/>
      <w:r>
        <w:rPr>
          <w:rFonts w:ascii="Arial" w:eastAsiaTheme="minorHAnsi" w:hAnsi="Arial" w:cs="Arial"/>
          <w:b/>
          <w:bCs/>
          <w:i/>
          <w:iCs/>
          <w:sz w:val="20"/>
          <w:szCs w:val="20"/>
          <w:lang w:eastAsia="en-US"/>
        </w:rPr>
        <w:t>être</w:t>
      </w:r>
      <w:proofErr w:type="gramEnd"/>
      <w:r>
        <w:rPr>
          <w:rFonts w:ascii="Arial" w:eastAsiaTheme="minorHAnsi" w:hAnsi="Arial" w:cs="Arial"/>
          <w:b/>
          <w:bCs/>
          <w:i/>
          <w:iCs/>
          <w:sz w:val="20"/>
          <w:szCs w:val="20"/>
          <w:lang w:eastAsia="en-US"/>
        </w:rPr>
        <w:t xml:space="preserve"> plus de 16 fois supérieur à celui du moins bien classé</w:t>
      </w:r>
      <w:r>
        <w:rPr>
          <w:rFonts w:ascii="Arial" w:eastAsiaTheme="minorHAnsi" w:hAnsi="Arial" w:cs="Arial"/>
          <w:i/>
          <w:iCs/>
          <w:sz w:val="20"/>
          <w:szCs w:val="20"/>
          <w:lang w:eastAsia="en-US"/>
        </w:rPr>
        <w:t>. Par exemple, si le joueur</w:t>
      </w:r>
    </w:p>
    <w:p w:rsidR="006C79C2" w:rsidRDefault="006C79C2" w:rsidP="006C79C2">
      <w:pPr>
        <w:autoSpaceDE w:val="0"/>
        <w:autoSpaceDN w:val="0"/>
        <w:adjustRightInd w:val="0"/>
        <w:rPr>
          <w:rFonts w:ascii="Arial" w:eastAsiaTheme="minorHAnsi" w:hAnsi="Arial" w:cs="Arial"/>
          <w:i/>
          <w:iCs/>
          <w:sz w:val="20"/>
          <w:szCs w:val="20"/>
          <w:lang w:eastAsia="en-US"/>
        </w:rPr>
      </w:pPr>
      <w:proofErr w:type="gramStart"/>
      <w:r>
        <w:rPr>
          <w:rFonts w:ascii="Arial" w:eastAsiaTheme="minorHAnsi" w:hAnsi="Arial" w:cs="Arial"/>
          <w:i/>
          <w:iCs/>
          <w:sz w:val="20"/>
          <w:szCs w:val="20"/>
          <w:lang w:eastAsia="en-US"/>
        </w:rPr>
        <w:t>le</w:t>
      </w:r>
      <w:proofErr w:type="gramEnd"/>
      <w:r>
        <w:rPr>
          <w:rFonts w:ascii="Arial" w:eastAsiaTheme="minorHAnsi" w:hAnsi="Arial" w:cs="Arial"/>
          <w:i/>
          <w:iCs/>
          <w:sz w:val="20"/>
          <w:szCs w:val="20"/>
          <w:lang w:eastAsia="en-US"/>
        </w:rPr>
        <w:t xml:space="preserve"> moins bien classé d'un tableau a une cote de 8 (D9), alors le tableau ne peut pas</w:t>
      </w:r>
    </w:p>
    <w:p w:rsidR="006C79C2" w:rsidRDefault="006C79C2" w:rsidP="006C79C2">
      <w:pPr>
        <w:autoSpaceDE w:val="0"/>
        <w:autoSpaceDN w:val="0"/>
        <w:adjustRightInd w:val="0"/>
        <w:rPr>
          <w:rFonts w:ascii="Arial" w:eastAsiaTheme="minorHAnsi" w:hAnsi="Arial" w:cs="Arial"/>
          <w:i/>
          <w:iCs/>
          <w:sz w:val="20"/>
          <w:szCs w:val="20"/>
          <w:lang w:eastAsia="en-US"/>
        </w:rPr>
      </w:pPr>
      <w:proofErr w:type="gramStart"/>
      <w:r>
        <w:rPr>
          <w:rFonts w:ascii="Arial" w:eastAsiaTheme="minorHAnsi" w:hAnsi="Arial" w:cs="Arial"/>
          <w:i/>
          <w:iCs/>
          <w:sz w:val="20"/>
          <w:szCs w:val="20"/>
          <w:lang w:eastAsia="en-US"/>
        </w:rPr>
        <w:t>inclure</w:t>
      </w:r>
      <w:proofErr w:type="gramEnd"/>
      <w:r>
        <w:rPr>
          <w:rFonts w:ascii="Arial" w:eastAsiaTheme="minorHAnsi" w:hAnsi="Arial" w:cs="Arial"/>
          <w:i/>
          <w:iCs/>
          <w:sz w:val="20"/>
          <w:szCs w:val="20"/>
          <w:lang w:eastAsia="en-US"/>
        </w:rPr>
        <w:t xml:space="preserve"> un joueur dont la cote serait supérieure à 128 (R5).</w:t>
      </w:r>
    </w:p>
    <w:p w:rsidR="006C79C2" w:rsidRDefault="006C79C2" w:rsidP="006C79C2">
      <w:pPr>
        <w:autoSpaceDE w:val="0"/>
        <w:autoSpaceDN w:val="0"/>
        <w:adjustRightInd w:val="0"/>
        <w:rPr>
          <w:rFonts w:ascii="Arial" w:eastAsiaTheme="minorHAnsi" w:hAnsi="Arial" w:cs="Arial"/>
          <w:i/>
          <w:iCs/>
          <w:sz w:val="20"/>
          <w:szCs w:val="20"/>
          <w:lang w:eastAsia="en-US"/>
        </w:rPr>
      </w:pPr>
      <w:r>
        <w:rPr>
          <w:rFonts w:ascii="Arial" w:eastAsiaTheme="minorHAnsi" w:hAnsi="Arial" w:cs="Arial"/>
          <w:i/>
          <w:iCs/>
          <w:sz w:val="20"/>
          <w:szCs w:val="20"/>
          <w:lang w:eastAsia="en-US"/>
        </w:rPr>
        <w:t>Cas particuliers : si un tableau inclut un joueur NC ou P12, alors il peut inclure au</w:t>
      </w:r>
    </w:p>
    <w:p w:rsidR="006C79C2" w:rsidRDefault="006C79C2" w:rsidP="006C79C2">
      <w:pPr>
        <w:autoSpaceDE w:val="0"/>
        <w:autoSpaceDN w:val="0"/>
        <w:adjustRightInd w:val="0"/>
        <w:rPr>
          <w:rFonts w:ascii="Arial" w:eastAsiaTheme="minorHAnsi" w:hAnsi="Arial" w:cs="Arial"/>
          <w:i/>
          <w:iCs/>
          <w:sz w:val="20"/>
          <w:szCs w:val="20"/>
          <w:lang w:eastAsia="en-US"/>
        </w:rPr>
      </w:pPr>
      <w:proofErr w:type="gramStart"/>
      <w:r>
        <w:rPr>
          <w:rFonts w:ascii="Arial" w:eastAsiaTheme="minorHAnsi" w:hAnsi="Arial" w:cs="Arial"/>
          <w:i/>
          <w:iCs/>
          <w:sz w:val="20"/>
          <w:szCs w:val="20"/>
          <w:lang w:eastAsia="en-US"/>
        </w:rPr>
        <w:t>maximum</w:t>
      </w:r>
      <w:proofErr w:type="gramEnd"/>
      <w:r>
        <w:rPr>
          <w:rFonts w:ascii="Arial" w:eastAsiaTheme="minorHAnsi" w:hAnsi="Arial" w:cs="Arial"/>
          <w:i/>
          <w:iCs/>
          <w:sz w:val="20"/>
          <w:szCs w:val="20"/>
          <w:lang w:eastAsia="en-US"/>
        </w:rPr>
        <w:t xml:space="preserve"> des joueurs classés :</w:t>
      </w:r>
    </w:p>
    <w:p w:rsidR="006C79C2" w:rsidRDefault="006C79C2" w:rsidP="006C79C2">
      <w:pPr>
        <w:autoSpaceDE w:val="0"/>
        <w:autoSpaceDN w:val="0"/>
        <w:adjustRightInd w:val="0"/>
        <w:rPr>
          <w:rFonts w:ascii="Arial" w:eastAsiaTheme="minorHAnsi" w:hAnsi="Arial" w:cs="Arial"/>
          <w:i/>
          <w:iCs/>
          <w:sz w:val="20"/>
          <w:szCs w:val="20"/>
          <w:lang w:eastAsia="en-US"/>
        </w:rPr>
      </w:pPr>
      <w:r>
        <w:rPr>
          <w:rFonts w:ascii="Arial-ItalicMT" w:eastAsiaTheme="minorHAnsi" w:hAnsi="Arial-ItalicMT" w:cs="Arial-ItalicMT"/>
          <w:i/>
          <w:iCs/>
          <w:sz w:val="20"/>
          <w:szCs w:val="20"/>
          <w:lang w:eastAsia="en-US"/>
        </w:rPr>
        <w:t xml:space="preserve">– </w:t>
      </w:r>
      <w:r>
        <w:rPr>
          <w:rFonts w:ascii="Arial" w:eastAsiaTheme="minorHAnsi" w:hAnsi="Arial" w:cs="Arial"/>
          <w:i/>
          <w:iCs/>
          <w:sz w:val="20"/>
          <w:szCs w:val="20"/>
          <w:lang w:eastAsia="en-US"/>
        </w:rPr>
        <w:t>D7 (cote strictement inférieure à 64) dans le cas de tableaux benjamins ou minimes</w:t>
      </w:r>
    </w:p>
    <w:p w:rsidR="006C79C2" w:rsidRDefault="006C79C2" w:rsidP="006C79C2">
      <w:pPr>
        <w:autoSpaceDE w:val="0"/>
        <w:autoSpaceDN w:val="0"/>
        <w:adjustRightInd w:val="0"/>
        <w:rPr>
          <w:rFonts w:ascii="Arial" w:eastAsiaTheme="minorHAnsi" w:hAnsi="Arial" w:cs="Arial"/>
          <w:i/>
          <w:iCs/>
          <w:sz w:val="20"/>
          <w:szCs w:val="20"/>
          <w:lang w:eastAsia="en-US"/>
        </w:rPr>
      </w:pPr>
      <w:r>
        <w:rPr>
          <w:rFonts w:ascii="Arial-ItalicMT" w:eastAsiaTheme="minorHAnsi" w:hAnsi="Arial-ItalicMT" w:cs="Arial-ItalicMT"/>
          <w:i/>
          <w:iCs/>
          <w:sz w:val="20"/>
          <w:szCs w:val="20"/>
          <w:lang w:eastAsia="en-US"/>
        </w:rPr>
        <w:t xml:space="preserve">– </w:t>
      </w:r>
      <w:r>
        <w:rPr>
          <w:rFonts w:ascii="Arial" w:eastAsiaTheme="minorHAnsi" w:hAnsi="Arial" w:cs="Arial"/>
          <w:i/>
          <w:iCs/>
          <w:sz w:val="20"/>
          <w:szCs w:val="20"/>
          <w:lang w:eastAsia="en-US"/>
        </w:rPr>
        <w:t>D8 (cote strictement inférieure à 32) dans les autres cas.</w:t>
      </w:r>
    </w:p>
    <w:p w:rsidR="006C79C2" w:rsidRDefault="006C79C2" w:rsidP="006C79C2">
      <w:pPr>
        <w:autoSpaceDE w:val="0"/>
        <w:autoSpaceDN w:val="0"/>
        <w:adjustRightInd w:val="0"/>
        <w:rPr>
          <w:rFonts w:ascii="Arial" w:eastAsiaTheme="minorHAnsi" w:hAnsi="Arial" w:cs="Arial"/>
          <w:i/>
          <w:iCs/>
          <w:sz w:val="20"/>
          <w:szCs w:val="20"/>
          <w:lang w:eastAsia="en-US"/>
        </w:rPr>
      </w:pPr>
      <w:r>
        <w:rPr>
          <w:rFonts w:ascii="Arial-ItalicMT" w:eastAsiaTheme="minorHAnsi" w:hAnsi="Arial-ItalicMT" w:cs="Arial-ItalicMT"/>
          <w:i/>
          <w:iCs/>
          <w:sz w:val="20"/>
          <w:szCs w:val="20"/>
          <w:lang w:eastAsia="en-US"/>
        </w:rPr>
        <w:t xml:space="preserve">Cet article ne s’applique pas aux compétitions référencées </w:t>
      </w:r>
      <w:r>
        <w:rPr>
          <w:rFonts w:ascii="Arial" w:eastAsiaTheme="minorHAnsi" w:hAnsi="Arial" w:cs="Arial"/>
          <w:i/>
          <w:iCs/>
          <w:sz w:val="20"/>
          <w:szCs w:val="20"/>
          <w:lang w:eastAsia="en-US"/>
        </w:rPr>
        <w:t>et autorisées comme</w:t>
      </w:r>
    </w:p>
    <w:p w:rsidR="002C433C" w:rsidRPr="002C433C" w:rsidRDefault="006C79C2" w:rsidP="006C79C2">
      <w:pPr>
        <w:rPr>
          <w:b/>
          <w:color w:val="FF0000"/>
          <w:sz w:val="22"/>
          <w:szCs w:val="22"/>
        </w:rPr>
      </w:pPr>
      <w:proofErr w:type="gramStart"/>
      <w:r>
        <w:rPr>
          <w:rFonts w:ascii="Arial" w:eastAsiaTheme="minorHAnsi" w:hAnsi="Arial" w:cs="Arial"/>
          <w:i/>
          <w:iCs/>
          <w:sz w:val="20"/>
          <w:szCs w:val="20"/>
          <w:lang w:eastAsia="en-US"/>
        </w:rPr>
        <w:t>championnats</w:t>
      </w:r>
      <w:proofErr w:type="gramEnd"/>
      <w:r>
        <w:rPr>
          <w:rFonts w:ascii="Arial" w:eastAsiaTheme="minorHAnsi" w:hAnsi="Arial" w:cs="Arial"/>
          <w:i/>
          <w:iCs/>
          <w:sz w:val="20"/>
          <w:szCs w:val="20"/>
          <w:lang w:eastAsia="en-US"/>
        </w:rPr>
        <w:t>. »</w:t>
      </w:r>
      <w:r w:rsidR="002C433C" w:rsidRPr="002C433C">
        <w:rPr>
          <w:b/>
          <w:color w:val="FF0000"/>
          <w:sz w:val="22"/>
          <w:szCs w:val="22"/>
        </w:rPr>
        <w:t xml:space="preserve"> </w:t>
      </w:r>
    </w:p>
    <w:p w:rsidR="0050152F" w:rsidRPr="002C433C" w:rsidRDefault="0050152F" w:rsidP="0050152F">
      <w:pPr>
        <w:rPr>
          <w:b/>
          <w:color w:val="FF0000"/>
          <w:sz w:val="20"/>
          <w:szCs w:val="20"/>
        </w:rPr>
      </w:pPr>
    </w:p>
    <w:p w:rsidR="0050152F" w:rsidRDefault="0050152F" w:rsidP="0050152F">
      <w:pPr>
        <w:rPr>
          <w:b/>
          <w:bCs/>
        </w:rPr>
      </w:pPr>
      <w:r>
        <w:rPr>
          <w:b/>
          <w:bCs/>
        </w:rPr>
        <w:t>Article 2</w:t>
      </w:r>
    </w:p>
    <w:p w:rsidR="0050152F" w:rsidRDefault="0050152F" w:rsidP="0050152F">
      <w:pPr>
        <w:rPr>
          <w:sz w:val="20"/>
          <w:szCs w:val="20"/>
        </w:rPr>
      </w:pPr>
      <w:r>
        <w:rPr>
          <w:sz w:val="20"/>
          <w:szCs w:val="20"/>
        </w:rPr>
        <w:tab/>
      </w:r>
      <w:r>
        <w:rPr>
          <w:sz w:val="22"/>
          <w:szCs w:val="22"/>
        </w:rPr>
        <w:t>Dans l’intérêt du tournoi, et en accord avec le juge arbitre, le comité d’organisation se réserve le droit de modifier tout, ou partie, du présent règlement</w:t>
      </w:r>
      <w:r>
        <w:rPr>
          <w:sz w:val="20"/>
          <w:szCs w:val="20"/>
        </w:rPr>
        <w:t xml:space="preserve">. </w:t>
      </w:r>
    </w:p>
    <w:p w:rsidR="0050152F" w:rsidRPr="002B48CE" w:rsidRDefault="0050152F" w:rsidP="0050152F">
      <w:pPr>
        <w:rPr>
          <w:sz w:val="20"/>
          <w:szCs w:val="20"/>
        </w:rPr>
      </w:pPr>
      <w:r>
        <w:rPr>
          <w:sz w:val="20"/>
          <w:szCs w:val="20"/>
        </w:rPr>
        <w:t>Le tourn</w:t>
      </w:r>
      <w:r w:rsidR="00110B5D">
        <w:rPr>
          <w:sz w:val="20"/>
          <w:szCs w:val="20"/>
        </w:rPr>
        <w:t>oi est placé sous l’autorité du</w:t>
      </w:r>
      <w:r>
        <w:rPr>
          <w:sz w:val="20"/>
          <w:szCs w:val="20"/>
        </w:rPr>
        <w:t xml:space="preserve"> Juge-Arbitre</w:t>
      </w:r>
      <w:r w:rsidRPr="002B48CE">
        <w:rPr>
          <w:sz w:val="20"/>
          <w:szCs w:val="20"/>
        </w:rPr>
        <w:t>,</w:t>
      </w:r>
      <w:r w:rsidR="00AA7906">
        <w:rPr>
          <w:sz w:val="20"/>
          <w:szCs w:val="20"/>
        </w:rPr>
        <w:t xml:space="preserve"> </w:t>
      </w:r>
      <w:r w:rsidR="00110B5D">
        <w:rPr>
          <w:sz w:val="20"/>
          <w:szCs w:val="20"/>
        </w:rPr>
        <w:t>Victorien CHAUCHOY</w:t>
      </w:r>
      <w:r w:rsidRPr="002B48CE">
        <w:rPr>
          <w:sz w:val="20"/>
          <w:szCs w:val="20"/>
        </w:rPr>
        <w:t xml:space="preserve">. Ses décisions seront sans appel. </w:t>
      </w:r>
    </w:p>
    <w:p w:rsidR="0050152F" w:rsidRDefault="0050152F" w:rsidP="0050152F">
      <w:pPr>
        <w:rPr>
          <w:sz w:val="20"/>
          <w:szCs w:val="20"/>
        </w:rPr>
      </w:pPr>
      <w:r w:rsidRPr="002B48CE">
        <w:rPr>
          <w:sz w:val="20"/>
          <w:szCs w:val="20"/>
        </w:rPr>
        <w:t>N° d’autorisation </w:t>
      </w:r>
      <w:r w:rsidR="009053FB" w:rsidRPr="002B48CE">
        <w:rPr>
          <w:sz w:val="20"/>
          <w:szCs w:val="20"/>
        </w:rPr>
        <w:t xml:space="preserve">: </w:t>
      </w:r>
      <w:r w:rsidR="00110B5D">
        <w:rPr>
          <w:sz w:val="20"/>
          <w:szCs w:val="20"/>
        </w:rPr>
        <w:t>2102281</w:t>
      </w:r>
    </w:p>
    <w:p w:rsidR="0050152F" w:rsidRDefault="0050152F" w:rsidP="0050152F">
      <w:pPr>
        <w:rPr>
          <w:sz w:val="20"/>
          <w:szCs w:val="20"/>
        </w:rPr>
      </w:pPr>
    </w:p>
    <w:p w:rsidR="0050152F" w:rsidRDefault="0050152F" w:rsidP="0050152F">
      <w:pPr>
        <w:rPr>
          <w:b/>
          <w:bCs/>
        </w:rPr>
      </w:pPr>
      <w:r>
        <w:rPr>
          <w:b/>
          <w:bCs/>
        </w:rPr>
        <w:t xml:space="preserve">Article 3 </w:t>
      </w:r>
    </w:p>
    <w:p w:rsidR="0050152F" w:rsidRDefault="0050152F" w:rsidP="0050152F">
      <w:pPr>
        <w:rPr>
          <w:sz w:val="22"/>
          <w:szCs w:val="22"/>
        </w:rPr>
      </w:pPr>
      <w:r>
        <w:rPr>
          <w:sz w:val="22"/>
          <w:szCs w:val="22"/>
        </w:rPr>
        <w:t>Les règles du jeu sont celles éditées par la FFBAD.</w:t>
      </w:r>
    </w:p>
    <w:p w:rsidR="0050152F" w:rsidRDefault="0050152F" w:rsidP="0050152F">
      <w:pPr>
        <w:rPr>
          <w:sz w:val="22"/>
          <w:szCs w:val="22"/>
        </w:rPr>
      </w:pPr>
      <w:r>
        <w:rPr>
          <w:sz w:val="22"/>
          <w:szCs w:val="22"/>
        </w:rPr>
        <w:t xml:space="preserve">Une tenue de badminton conforme au règlement </w:t>
      </w:r>
      <w:proofErr w:type="spellStart"/>
      <w:r>
        <w:rPr>
          <w:sz w:val="22"/>
          <w:szCs w:val="22"/>
        </w:rPr>
        <w:t>FFBad</w:t>
      </w:r>
      <w:proofErr w:type="spellEnd"/>
      <w:r>
        <w:rPr>
          <w:sz w:val="22"/>
          <w:szCs w:val="22"/>
        </w:rPr>
        <w:t xml:space="preserve"> est exigée sur les terrains</w:t>
      </w:r>
    </w:p>
    <w:p w:rsidR="0050152F" w:rsidRDefault="0050152F" w:rsidP="0050152F">
      <w:pPr>
        <w:rPr>
          <w:sz w:val="22"/>
          <w:szCs w:val="22"/>
        </w:rPr>
      </w:pPr>
      <w:r>
        <w:rPr>
          <w:sz w:val="22"/>
          <w:szCs w:val="22"/>
        </w:rPr>
        <w:t>Point particulier : si le volant touche les structures :</w:t>
      </w:r>
    </w:p>
    <w:p w:rsidR="0050152F" w:rsidRDefault="0050152F" w:rsidP="0050152F">
      <w:pPr>
        <w:numPr>
          <w:ilvl w:val="0"/>
          <w:numId w:val="1"/>
        </w:numPr>
        <w:rPr>
          <w:sz w:val="22"/>
          <w:szCs w:val="22"/>
        </w:rPr>
      </w:pPr>
      <w:proofErr w:type="gramStart"/>
      <w:r>
        <w:rPr>
          <w:sz w:val="22"/>
          <w:szCs w:val="22"/>
        </w:rPr>
        <w:t>à</w:t>
      </w:r>
      <w:proofErr w:type="gramEnd"/>
      <w:r>
        <w:rPr>
          <w:sz w:val="22"/>
          <w:szCs w:val="22"/>
        </w:rPr>
        <w:t xml:space="preserve"> l’engagement : le volant est remis une fois</w:t>
      </w:r>
    </w:p>
    <w:p w:rsidR="0050152F" w:rsidRDefault="0050152F" w:rsidP="0050152F">
      <w:pPr>
        <w:numPr>
          <w:ilvl w:val="0"/>
          <w:numId w:val="1"/>
        </w:numPr>
        <w:rPr>
          <w:sz w:val="22"/>
          <w:szCs w:val="22"/>
        </w:rPr>
      </w:pPr>
      <w:proofErr w:type="gramStart"/>
      <w:r>
        <w:rPr>
          <w:sz w:val="22"/>
          <w:szCs w:val="22"/>
        </w:rPr>
        <w:t>au</w:t>
      </w:r>
      <w:proofErr w:type="gramEnd"/>
      <w:r>
        <w:rPr>
          <w:sz w:val="22"/>
          <w:szCs w:val="22"/>
        </w:rPr>
        <w:t xml:space="preserve"> cours de l’échange : le volant est compté faute</w:t>
      </w:r>
    </w:p>
    <w:p w:rsidR="0050152F" w:rsidRDefault="0050152F" w:rsidP="0050152F">
      <w:pPr>
        <w:rPr>
          <w:sz w:val="20"/>
          <w:szCs w:val="20"/>
        </w:rPr>
      </w:pPr>
    </w:p>
    <w:p w:rsidR="0050152F" w:rsidRDefault="0050152F" w:rsidP="0050152F">
      <w:pPr>
        <w:rPr>
          <w:b/>
          <w:bCs/>
        </w:rPr>
      </w:pPr>
      <w:r>
        <w:rPr>
          <w:b/>
          <w:bCs/>
        </w:rPr>
        <w:t>Article 4</w:t>
      </w:r>
    </w:p>
    <w:p w:rsidR="0050152F" w:rsidRDefault="0050152F" w:rsidP="0050152F">
      <w:pPr>
        <w:rPr>
          <w:sz w:val="22"/>
          <w:szCs w:val="22"/>
        </w:rPr>
      </w:pPr>
      <w:r>
        <w:rPr>
          <w:sz w:val="20"/>
          <w:szCs w:val="20"/>
        </w:rPr>
        <w:tab/>
      </w:r>
      <w:r>
        <w:rPr>
          <w:sz w:val="22"/>
          <w:szCs w:val="22"/>
        </w:rPr>
        <w:t>Les joueurs et joueuses devront présenter leur licence au début de la compétition. L’organisation du tournoi sera rigoureuse sur le respect des horaires qui seront affichés dans la salle. Trois minutes après le 3</w:t>
      </w:r>
      <w:r>
        <w:rPr>
          <w:sz w:val="22"/>
          <w:szCs w:val="22"/>
          <w:vertAlign w:val="superscript"/>
        </w:rPr>
        <w:t>ème</w:t>
      </w:r>
      <w:r>
        <w:rPr>
          <w:sz w:val="22"/>
          <w:szCs w:val="22"/>
        </w:rPr>
        <w:t xml:space="preserve"> appel, tout joueur qui ne se sera pas présenté sur le terrain sera déclaré W.O. pour ce tableau.</w:t>
      </w:r>
    </w:p>
    <w:p w:rsidR="0050152F" w:rsidRDefault="0050152F" w:rsidP="0050152F">
      <w:pPr>
        <w:rPr>
          <w:sz w:val="22"/>
          <w:szCs w:val="22"/>
        </w:rPr>
      </w:pPr>
      <w:r>
        <w:rPr>
          <w:sz w:val="22"/>
          <w:szCs w:val="22"/>
        </w:rPr>
        <w:tab/>
        <w:t>Les joueurs disposeront de 3 minutes, à partir du premier appel, pour se présenter sur le terrain, tester les volants et s’échauffer.</w:t>
      </w:r>
    </w:p>
    <w:p w:rsidR="0050152F" w:rsidRDefault="0050152F" w:rsidP="0050152F">
      <w:pPr>
        <w:rPr>
          <w:sz w:val="22"/>
          <w:szCs w:val="22"/>
        </w:rPr>
      </w:pPr>
      <w:r>
        <w:rPr>
          <w:sz w:val="22"/>
          <w:szCs w:val="22"/>
        </w:rPr>
        <w:t xml:space="preserve">Tout joueur désirant s’absenter devra obligatoirement en informer la table de marque </w:t>
      </w:r>
      <w:r w:rsidR="00A27039">
        <w:rPr>
          <w:sz w:val="22"/>
          <w:szCs w:val="22"/>
        </w:rPr>
        <w:t>e</w:t>
      </w:r>
      <w:r>
        <w:rPr>
          <w:sz w:val="22"/>
          <w:szCs w:val="22"/>
        </w:rPr>
        <w:t>t le Juge-Arbitre du tournoi.</w:t>
      </w:r>
    </w:p>
    <w:p w:rsidR="0050152F" w:rsidRDefault="0050152F" w:rsidP="0050152F">
      <w:pPr>
        <w:rPr>
          <w:sz w:val="20"/>
          <w:szCs w:val="20"/>
        </w:rPr>
      </w:pPr>
    </w:p>
    <w:p w:rsidR="0050152F" w:rsidRDefault="0050152F" w:rsidP="0050152F">
      <w:pPr>
        <w:rPr>
          <w:b/>
          <w:bCs/>
        </w:rPr>
      </w:pPr>
      <w:r>
        <w:rPr>
          <w:b/>
          <w:bCs/>
        </w:rPr>
        <w:t>Article 5</w:t>
      </w:r>
    </w:p>
    <w:p w:rsidR="0050152F" w:rsidRPr="008716AF" w:rsidRDefault="0050152F" w:rsidP="00A27039">
      <w:pPr>
        <w:rPr>
          <w:sz w:val="22"/>
          <w:szCs w:val="22"/>
        </w:rPr>
      </w:pPr>
      <w:r>
        <w:rPr>
          <w:sz w:val="20"/>
          <w:szCs w:val="20"/>
        </w:rPr>
        <w:tab/>
      </w:r>
      <w:r>
        <w:rPr>
          <w:sz w:val="22"/>
          <w:szCs w:val="22"/>
        </w:rPr>
        <w:t>Les volants du tournoi sont à la charge des joueurs. Les volants homologués pour ce tournoi sont :</w:t>
      </w:r>
    </w:p>
    <w:p w:rsidR="0050152F" w:rsidRPr="00A836E7" w:rsidRDefault="00A836E7" w:rsidP="00A836E7">
      <w:pPr>
        <w:pStyle w:val="Paragraphedeliste"/>
        <w:numPr>
          <w:ilvl w:val="0"/>
          <w:numId w:val="2"/>
        </w:numPr>
        <w:rPr>
          <w:sz w:val="22"/>
          <w:szCs w:val="22"/>
        </w:rPr>
      </w:pPr>
      <w:r w:rsidRPr="00A836E7">
        <w:rPr>
          <w:sz w:val="22"/>
          <w:szCs w:val="22"/>
        </w:rPr>
        <w:t>RSL TOURNEY 3</w:t>
      </w:r>
    </w:p>
    <w:p w:rsidR="0050152F" w:rsidRDefault="0050152F" w:rsidP="0050152F">
      <w:pPr>
        <w:rPr>
          <w:b/>
          <w:bCs/>
        </w:rPr>
      </w:pPr>
      <w:r>
        <w:rPr>
          <w:b/>
          <w:bCs/>
        </w:rPr>
        <w:lastRenderedPageBreak/>
        <w:t>Article 6</w:t>
      </w:r>
    </w:p>
    <w:p w:rsidR="0050152F" w:rsidRDefault="0050152F" w:rsidP="0050152F">
      <w:pPr>
        <w:rPr>
          <w:sz w:val="22"/>
          <w:szCs w:val="22"/>
        </w:rPr>
      </w:pPr>
      <w:r>
        <w:rPr>
          <w:sz w:val="20"/>
          <w:szCs w:val="20"/>
        </w:rPr>
        <w:tab/>
      </w:r>
      <w:r>
        <w:rPr>
          <w:sz w:val="22"/>
          <w:szCs w:val="22"/>
        </w:rPr>
        <w:t>Le nombre de joueurs maximum sera f</w:t>
      </w:r>
      <w:r w:rsidR="000F3699">
        <w:rPr>
          <w:sz w:val="22"/>
          <w:szCs w:val="22"/>
        </w:rPr>
        <w:t xml:space="preserve">ixé à 180. Les </w:t>
      </w:r>
      <w:proofErr w:type="gramStart"/>
      <w:r w:rsidR="000F3699">
        <w:rPr>
          <w:sz w:val="22"/>
          <w:szCs w:val="22"/>
        </w:rPr>
        <w:t xml:space="preserve">inscriptions </w:t>
      </w:r>
      <w:r>
        <w:rPr>
          <w:sz w:val="22"/>
          <w:szCs w:val="22"/>
        </w:rPr>
        <w:t xml:space="preserve"> limitées</w:t>
      </w:r>
      <w:proofErr w:type="gramEnd"/>
      <w:r>
        <w:rPr>
          <w:sz w:val="22"/>
          <w:szCs w:val="22"/>
        </w:rPr>
        <w:t xml:space="preserve"> à DEUX tableaux par joueur, seront prises par ordre d’arrivée (cachet de la poste faisant foi) et validées uniquement si accompagnées du règlement (</w:t>
      </w:r>
      <w:r w:rsidRPr="00AA7906">
        <w:rPr>
          <w:sz w:val="22"/>
          <w:szCs w:val="22"/>
        </w:rPr>
        <w:t>1</w:t>
      </w:r>
      <w:r w:rsidR="00DA003D" w:rsidRPr="00AA7906">
        <w:rPr>
          <w:sz w:val="22"/>
          <w:szCs w:val="22"/>
        </w:rPr>
        <w:t>5</w:t>
      </w:r>
      <w:r w:rsidRPr="00AA7906">
        <w:rPr>
          <w:sz w:val="22"/>
          <w:szCs w:val="22"/>
        </w:rPr>
        <w:t>€ un tableau, 1</w:t>
      </w:r>
      <w:r w:rsidR="00DA003D" w:rsidRPr="00AA7906">
        <w:rPr>
          <w:sz w:val="22"/>
          <w:szCs w:val="22"/>
        </w:rPr>
        <w:t>8</w:t>
      </w:r>
      <w:r w:rsidRPr="00AA7906">
        <w:rPr>
          <w:sz w:val="22"/>
          <w:szCs w:val="22"/>
        </w:rPr>
        <w:t>€ deux tableau</w:t>
      </w:r>
      <w:r w:rsidR="00DA003D" w:rsidRPr="00AA7906">
        <w:rPr>
          <w:sz w:val="22"/>
          <w:szCs w:val="22"/>
        </w:rPr>
        <w:t>x</w:t>
      </w:r>
      <w:r>
        <w:rPr>
          <w:sz w:val="22"/>
          <w:szCs w:val="22"/>
        </w:rPr>
        <w:t>). Les tableaux se dérouleront</w:t>
      </w:r>
      <w:r w:rsidR="002B48CE">
        <w:rPr>
          <w:sz w:val="22"/>
          <w:szCs w:val="22"/>
        </w:rPr>
        <w:t xml:space="preserve"> en</w:t>
      </w:r>
      <w:r>
        <w:rPr>
          <w:sz w:val="22"/>
          <w:szCs w:val="22"/>
        </w:rPr>
        <w:t xml:space="preserve"> poule </w:t>
      </w:r>
      <w:r w:rsidR="002B48CE">
        <w:rPr>
          <w:sz w:val="22"/>
          <w:szCs w:val="22"/>
        </w:rPr>
        <w:t xml:space="preserve">avec 2 sortants par poule dans la mesure du possible </w:t>
      </w:r>
      <w:r w:rsidR="00AF1DAA">
        <w:rPr>
          <w:sz w:val="22"/>
          <w:szCs w:val="22"/>
        </w:rPr>
        <w:t xml:space="preserve">puis </w:t>
      </w:r>
      <w:r>
        <w:rPr>
          <w:sz w:val="22"/>
          <w:szCs w:val="22"/>
        </w:rPr>
        <w:t xml:space="preserve">par élimination directe. </w:t>
      </w:r>
    </w:p>
    <w:p w:rsidR="0050152F" w:rsidRDefault="0050152F" w:rsidP="0050152F">
      <w:pPr>
        <w:rPr>
          <w:sz w:val="22"/>
          <w:szCs w:val="22"/>
        </w:rPr>
      </w:pPr>
      <w:r>
        <w:rPr>
          <w:sz w:val="22"/>
          <w:szCs w:val="22"/>
        </w:rPr>
        <w:t xml:space="preserve">Le tirage au sort se fera le </w:t>
      </w:r>
      <w:r w:rsidR="00960CCB">
        <w:rPr>
          <w:sz w:val="22"/>
          <w:szCs w:val="22"/>
        </w:rPr>
        <w:t>11</w:t>
      </w:r>
      <w:r w:rsidR="00AA7906">
        <w:rPr>
          <w:sz w:val="22"/>
          <w:szCs w:val="22"/>
        </w:rPr>
        <w:t xml:space="preserve"> décembre </w:t>
      </w:r>
      <w:r>
        <w:rPr>
          <w:sz w:val="22"/>
          <w:szCs w:val="22"/>
        </w:rPr>
        <w:t>20</w:t>
      </w:r>
      <w:r w:rsidR="00960CCB">
        <w:rPr>
          <w:sz w:val="22"/>
          <w:szCs w:val="22"/>
        </w:rPr>
        <w:t>21</w:t>
      </w:r>
      <w:bookmarkStart w:id="0" w:name="_GoBack"/>
      <w:bookmarkEnd w:id="0"/>
      <w:r>
        <w:rPr>
          <w:sz w:val="22"/>
          <w:szCs w:val="22"/>
        </w:rPr>
        <w:t>, aucun remboursement ne sera effectué après cette date</w:t>
      </w:r>
      <w:r w:rsidR="000F3699">
        <w:rPr>
          <w:sz w:val="22"/>
          <w:szCs w:val="22"/>
        </w:rPr>
        <w:t xml:space="preserve"> en cas de forfait non justifié</w:t>
      </w:r>
      <w:r>
        <w:rPr>
          <w:sz w:val="22"/>
          <w:szCs w:val="22"/>
        </w:rPr>
        <w:t>.</w:t>
      </w:r>
    </w:p>
    <w:p w:rsidR="0050152F" w:rsidRDefault="0050152F" w:rsidP="0050152F">
      <w:pPr>
        <w:rPr>
          <w:sz w:val="20"/>
          <w:szCs w:val="20"/>
        </w:rPr>
      </w:pPr>
      <w:r w:rsidRPr="00AF1DAA">
        <w:rPr>
          <w:sz w:val="20"/>
          <w:szCs w:val="20"/>
        </w:rPr>
        <w:t xml:space="preserve">Les tableaux seront réalisés au CPPH et </w:t>
      </w:r>
      <w:r w:rsidR="00F54465" w:rsidRPr="00AF1DAA">
        <w:rPr>
          <w:sz w:val="20"/>
          <w:szCs w:val="20"/>
        </w:rPr>
        <w:t>non par classement.</w:t>
      </w:r>
    </w:p>
    <w:p w:rsidR="002B48CE" w:rsidRDefault="002B48CE" w:rsidP="0050152F">
      <w:pPr>
        <w:rPr>
          <w:b/>
          <w:color w:val="FF0000"/>
          <w:sz w:val="22"/>
          <w:szCs w:val="22"/>
        </w:rPr>
      </w:pPr>
      <w:r>
        <w:rPr>
          <w:b/>
          <w:color w:val="FF0000"/>
          <w:sz w:val="22"/>
          <w:szCs w:val="22"/>
        </w:rPr>
        <w:t>Samedi simple et</w:t>
      </w:r>
      <w:r w:rsidR="00867440" w:rsidRPr="009053FB">
        <w:rPr>
          <w:b/>
          <w:color w:val="FF0000"/>
          <w:sz w:val="22"/>
          <w:szCs w:val="22"/>
        </w:rPr>
        <w:t xml:space="preserve"> mixte.</w:t>
      </w:r>
      <w:r>
        <w:rPr>
          <w:b/>
          <w:color w:val="FF0000"/>
          <w:sz w:val="22"/>
          <w:szCs w:val="22"/>
        </w:rPr>
        <w:t xml:space="preserve"> Au cas où un joueur dépasserai</w:t>
      </w:r>
      <w:r w:rsidR="00AA7906">
        <w:rPr>
          <w:b/>
          <w:color w:val="FF0000"/>
          <w:sz w:val="22"/>
          <w:szCs w:val="22"/>
        </w:rPr>
        <w:t>t</w:t>
      </w:r>
      <w:r>
        <w:rPr>
          <w:b/>
          <w:color w:val="FF0000"/>
          <w:sz w:val="22"/>
          <w:szCs w:val="22"/>
        </w:rPr>
        <w:t xml:space="preserve"> les 8 matchs/jour, les phases finales </w:t>
      </w:r>
      <w:r w:rsidR="00110B5D">
        <w:rPr>
          <w:b/>
          <w:color w:val="FF0000"/>
          <w:sz w:val="22"/>
          <w:szCs w:val="22"/>
        </w:rPr>
        <w:t>se joueraient le dimanche matin. De ce fait, tous participants au tableau de mixte s’engage à être disponible sur les 2 jours.</w:t>
      </w:r>
    </w:p>
    <w:p w:rsidR="00867440" w:rsidRPr="00D470BD" w:rsidRDefault="00867440" w:rsidP="0050152F">
      <w:pPr>
        <w:rPr>
          <w:b/>
          <w:color w:val="FF0000"/>
          <w:sz w:val="22"/>
          <w:szCs w:val="22"/>
        </w:rPr>
      </w:pPr>
      <w:r w:rsidRPr="009053FB">
        <w:rPr>
          <w:b/>
          <w:color w:val="FF0000"/>
          <w:sz w:val="22"/>
          <w:szCs w:val="22"/>
        </w:rPr>
        <w:t>Dimanche les doubles.</w:t>
      </w:r>
      <w:r w:rsidR="002C433C">
        <w:rPr>
          <w:b/>
          <w:color w:val="FF0000"/>
          <w:sz w:val="22"/>
          <w:szCs w:val="22"/>
        </w:rPr>
        <w:t xml:space="preserve"> </w:t>
      </w:r>
    </w:p>
    <w:p w:rsidR="0050152F" w:rsidRDefault="0050152F" w:rsidP="0050152F">
      <w:pPr>
        <w:rPr>
          <w:sz w:val="20"/>
          <w:szCs w:val="20"/>
        </w:rPr>
      </w:pPr>
    </w:p>
    <w:p w:rsidR="00AE7861" w:rsidRDefault="0050152F" w:rsidP="0050152F">
      <w:pPr>
        <w:rPr>
          <w:sz w:val="20"/>
          <w:szCs w:val="20"/>
        </w:rPr>
      </w:pPr>
      <w:r>
        <w:rPr>
          <w:b/>
          <w:bCs/>
        </w:rPr>
        <w:t>Article 7</w:t>
      </w:r>
      <w:r>
        <w:rPr>
          <w:sz w:val="20"/>
          <w:szCs w:val="20"/>
        </w:rPr>
        <w:tab/>
      </w:r>
    </w:p>
    <w:p w:rsidR="0050152F" w:rsidRDefault="0050152F" w:rsidP="0050152F">
      <w:pPr>
        <w:rPr>
          <w:sz w:val="22"/>
          <w:szCs w:val="22"/>
        </w:rPr>
      </w:pPr>
      <w:r>
        <w:rPr>
          <w:sz w:val="22"/>
          <w:szCs w:val="22"/>
        </w:rPr>
        <w:t>Les matchs se dérouleront en 2 sets gagnants de 21</w:t>
      </w:r>
      <w:r w:rsidR="00A27039">
        <w:rPr>
          <w:sz w:val="22"/>
          <w:szCs w:val="22"/>
        </w:rPr>
        <w:t xml:space="preserve"> points.</w:t>
      </w:r>
    </w:p>
    <w:p w:rsidR="0050152F" w:rsidRDefault="0050152F" w:rsidP="0050152F">
      <w:pPr>
        <w:rPr>
          <w:sz w:val="22"/>
          <w:szCs w:val="22"/>
        </w:rPr>
      </w:pPr>
    </w:p>
    <w:p w:rsidR="0050152F" w:rsidRPr="007F1A27" w:rsidRDefault="0050152F" w:rsidP="0050152F">
      <w:pPr>
        <w:rPr>
          <w:b/>
          <w:sz w:val="22"/>
          <w:szCs w:val="22"/>
        </w:rPr>
      </w:pPr>
      <w:r w:rsidRPr="007F1A27">
        <w:rPr>
          <w:b/>
          <w:sz w:val="22"/>
          <w:szCs w:val="22"/>
        </w:rPr>
        <w:t>Article 8</w:t>
      </w:r>
    </w:p>
    <w:p w:rsidR="0050152F" w:rsidRDefault="0050152F" w:rsidP="0050152F">
      <w:pPr>
        <w:rPr>
          <w:sz w:val="22"/>
          <w:szCs w:val="22"/>
        </w:rPr>
      </w:pPr>
      <w:r>
        <w:rPr>
          <w:sz w:val="22"/>
          <w:szCs w:val="22"/>
        </w:rPr>
        <w:t>Les</w:t>
      </w:r>
      <w:r w:rsidR="00DA003D">
        <w:rPr>
          <w:sz w:val="22"/>
          <w:szCs w:val="22"/>
        </w:rPr>
        <w:t xml:space="preserve"> matchs de</w:t>
      </w:r>
      <w:r>
        <w:rPr>
          <w:sz w:val="22"/>
          <w:szCs w:val="22"/>
        </w:rPr>
        <w:t xml:space="preserve"> poules se feront en auto-arbitrage. Les phases finales seront arbitrées </w:t>
      </w:r>
      <w:r w:rsidR="00A27039">
        <w:rPr>
          <w:sz w:val="22"/>
          <w:szCs w:val="22"/>
        </w:rPr>
        <w:t xml:space="preserve">dans la mesure du possible </w:t>
      </w:r>
      <w:r>
        <w:rPr>
          <w:sz w:val="22"/>
          <w:szCs w:val="22"/>
        </w:rPr>
        <w:t>par des officiels.</w:t>
      </w:r>
      <w:r w:rsidR="00A27039">
        <w:rPr>
          <w:sz w:val="22"/>
          <w:szCs w:val="22"/>
        </w:rPr>
        <w:t xml:space="preserve"> Les finales seront arbitrées par des officiels.</w:t>
      </w:r>
    </w:p>
    <w:p w:rsidR="0050152F" w:rsidRDefault="0050152F" w:rsidP="0050152F">
      <w:pPr>
        <w:rPr>
          <w:sz w:val="22"/>
          <w:szCs w:val="22"/>
        </w:rPr>
      </w:pPr>
      <w:r>
        <w:rPr>
          <w:sz w:val="22"/>
          <w:szCs w:val="22"/>
        </w:rPr>
        <w:t xml:space="preserve"> </w:t>
      </w:r>
    </w:p>
    <w:p w:rsidR="0050152F" w:rsidRPr="007F1A27" w:rsidRDefault="0050152F" w:rsidP="0050152F">
      <w:pPr>
        <w:rPr>
          <w:b/>
          <w:sz w:val="22"/>
          <w:szCs w:val="22"/>
        </w:rPr>
      </w:pPr>
      <w:r w:rsidRPr="007F1A27">
        <w:rPr>
          <w:b/>
          <w:sz w:val="22"/>
          <w:szCs w:val="22"/>
        </w:rPr>
        <w:t>Article 9</w:t>
      </w:r>
    </w:p>
    <w:p w:rsidR="0050152F" w:rsidRDefault="00AF1DAA" w:rsidP="0050152F">
      <w:pPr>
        <w:rPr>
          <w:sz w:val="22"/>
          <w:szCs w:val="22"/>
        </w:rPr>
      </w:pPr>
      <w:r>
        <w:rPr>
          <w:sz w:val="22"/>
          <w:szCs w:val="22"/>
        </w:rPr>
        <w:t>Le club de l’ASPTT PAU ne pourra</w:t>
      </w:r>
      <w:r w:rsidR="0050152F">
        <w:rPr>
          <w:sz w:val="22"/>
          <w:szCs w:val="22"/>
        </w:rPr>
        <w:t xml:space="preserve"> en aucun</w:t>
      </w:r>
      <w:r>
        <w:rPr>
          <w:sz w:val="22"/>
          <w:szCs w:val="22"/>
        </w:rPr>
        <w:t xml:space="preserve"> cas être tenu</w:t>
      </w:r>
      <w:r w:rsidR="0050152F">
        <w:rPr>
          <w:sz w:val="22"/>
          <w:szCs w:val="22"/>
        </w:rPr>
        <w:t xml:space="preserve"> responsable en cas de vol pouvant intervenir pendant le tournoi.</w:t>
      </w:r>
    </w:p>
    <w:p w:rsidR="0050152F" w:rsidRDefault="0050152F" w:rsidP="0050152F">
      <w:pPr>
        <w:rPr>
          <w:sz w:val="22"/>
          <w:szCs w:val="22"/>
        </w:rPr>
      </w:pPr>
    </w:p>
    <w:p w:rsidR="0050152F" w:rsidRPr="007F1A27" w:rsidRDefault="0050152F" w:rsidP="0050152F">
      <w:pPr>
        <w:rPr>
          <w:b/>
          <w:sz w:val="22"/>
          <w:szCs w:val="22"/>
        </w:rPr>
      </w:pPr>
      <w:r w:rsidRPr="007F1A27">
        <w:rPr>
          <w:b/>
          <w:sz w:val="22"/>
          <w:szCs w:val="22"/>
        </w:rPr>
        <w:t>Article 10</w:t>
      </w:r>
    </w:p>
    <w:p w:rsidR="002B48CE" w:rsidRDefault="0050152F" w:rsidP="0050152F">
      <w:pPr>
        <w:rPr>
          <w:sz w:val="22"/>
          <w:szCs w:val="22"/>
        </w:rPr>
      </w:pPr>
      <w:r>
        <w:rPr>
          <w:sz w:val="22"/>
          <w:szCs w:val="22"/>
        </w:rPr>
        <w:t xml:space="preserve">Tout joueur ne se présentant pas à une compétition où il est inscrit et qui ne fournit pas de </w:t>
      </w:r>
      <w:proofErr w:type="gramStart"/>
      <w:r>
        <w:rPr>
          <w:sz w:val="22"/>
          <w:szCs w:val="22"/>
        </w:rPr>
        <w:t>certificat  médical</w:t>
      </w:r>
      <w:proofErr w:type="gramEnd"/>
      <w:r>
        <w:rPr>
          <w:sz w:val="22"/>
          <w:szCs w:val="22"/>
        </w:rPr>
        <w:t xml:space="preserve"> sous 5 jours suiva</w:t>
      </w:r>
      <w:r w:rsidR="00AF1DAA">
        <w:rPr>
          <w:sz w:val="22"/>
          <w:szCs w:val="22"/>
        </w:rPr>
        <w:t>nt la compétition, à la Ligue Nouvelle-</w:t>
      </w:r>
      <w:r>
        <w:rPr>
          <w:sz w:val="22"/>
          <w:szCs w:val="22"/>
        </w:rPr>
        <w:t>Aquitaine de Badminton</w:t>
      </w:r>
      <w:r w:rsidR="00AF1DAA">
        <w:rPr>
          <w:sz w:val="22"/>
          <w:szCs w:val="22"/>
        </w:rPr>
        <w:t>,</w:t>
      </w:r>
      <w:r>
        <w:rPr>
          <w:sz w:val="22"/>
          <w:szCs w:val="22"/>
        </w:rPr>
        <w:t xml:space="preserve"> se verra sanctionné comme prévu par le Guide du Badminton. A savoir 2 mois de suspension pour une première fois et 6 mois en cas de récidive.</w:t>
      </w:r>
    </w:p>
    <w:p w:rsidR="002B48CE" w:rsidRDefault="002B48CE" w:rsidP="0050152F">
      <w:pPr>
        <w:rPr>
          <w:sz w:val="22"/>
          <w:szCs w:val="22"/>
        </w:rPr>
      </w:pPr>
    </w:p>
    <w:p w:rsidR="002B48CE" w:rsidRDefault="002B48CE" w:rsidP="0050152F">
      <w:pPr>
        <w:rPr>
          <w:sz w:val="22"/>
          <w:szCs w:val="22"/>
        </w:rPr>
      </w:pPr>
    </w:p>
    <w:p w:rsidR="002B48CE" w:rsidRDefault="002B48CE" w:rsidP="0050152F">
      <w:pPr>
        <w:rPr>
          <w:sz w:val="22"/>
          <w:szCs w:val="22"/>
        </w:rPr>
      </w:pPr>
    </w:p>
    <w:p w:rsidR="0050152F" w:rsidRDefault="002B48CE" w:rsidP="0050152F">
      <w:pPr>
        <w:jc w:val="center"/>
        <w:rPr>
          <w:rFonts w:ascii="Monotype Corsiva" w:hAnsi="Monotype Corsiva"/>
          <w:sz w:val="22"/>
          <w:szCs w:val="22"/>
        </w:rPr>
      </w:pPr>
      <w:r>
        <w:rPr>
          <w:noProof/>
        </w:rPr>
        <w:drawing>
          <wp:inline distT="0" distB="0" distL="0" distR="0">
            <wp:extent cx="2476500" cy="428767"/>
            <wp:effectExtent l="19050" t="0" r="0" b="0"/>
            <wp:docPr id="1" name="Image 0" descr="lardes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desports.png"/>
                    <pic:cNvPicPr/>
                  </pic:nvPicPr>
                  <pic:blipFill>
                    <a:blip r:embed="rId5" cstate="print"/>
                    <a:stretch>
                      <a:fillRect/>
                    </a:stretch>
                  </pic:blipFill>
                  <pic:spPr>
                    <a:xfrm>
                      <a:off x="0" y="0"/>
                      <a:ext cx="2476500" cy="428767"/>
                    </a:xfrm>
                    <a:prstGeom prst="rect">
                      <a:avLst/>
                    </a:prstGeom>
                  </pic:spPr>
                </pic:pic>
              </a:graphicData>
            </a:graphic>
          </wp:inline>
        </w:drawing>
      </w:r>
      <w:r>
        <w:rPr>
          <w:b/>
          <w:color w:val="FF0000"/>
          <w:sz w:val="22"/>
          <w:szCs w:val="22"/>
        </w:rPr>
        <w:tab/>
      </w:r>
      <w:r>
        <w:rPr>
          <w:noProof/>
        </w:rPr>
        <w:drawing>
          <wp:inline distT="0" distB="0" distL="0" distR="0">
            <wp:extent cx="1590675" cy="457200"/>
            <wp:effectExtent l="19050" t="0" r="9525" b="0"/>
            <wp:docPr id="2" name="Image 1" descr="logo_PAU_Vill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U_Ville_RVB.jpg"/>
                    <pic:cNvPicPr/>
                  </pic:nvPicPr>
                  <pic:blipFill>
                    <a:blip r:embed="rId6" cstate="print"/>
                    <a:stretch>
                      <a:fillRect/>
                    </a:stretch>
                  </pic:blipFill>
                  <pic:spPr>
                    <a:xfrm>
                      <a:off x="0" y="0"/>
                      <a:ext cx="1590675" cy="457200"/>
                    </a:xfrm>
                    <a:prstGeom prst="rect">
                      <a:avLst/>
                    </a:prstGeom>
                  </pic:spPr>
                </pic:pic>
              </a:graphicData>
            </a:graphic>
          </wp:inline>
        </w:drawing>
      </w:r>
      <w:r>
        <w:rPr>
          <w:b/>
          <w:color w:val="FF0000"/>
          <w:sz w:val="22"/>
          <w:szCs w:val="22"/>
        </w:rPr>
        <w:t xml:space="preserve"> </w:t>
      </w:r>
      <w:r>
        <w:rPr>
          <w:noProof/>
        </w:rPr>
        <w:drawing>
          <wp:inline distT="0" distB="0" distL="0" distR="0">
            <wp:extent cx="1752600" cy="419100"/>
            <wp:effectExtent l="0" t="0" r="0" b="0"/>
            <wp:docPr id="4" name="Image 3" descr="PAUPYRNESOMNISPOR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PYRNESOMNISPORTS-01.png"/>
                    <pic:cNvPicPr/>
                  </pic:nvPicPr>
                  <pic:blipFill>
                    <a:blip r:embed="rId7" cstate="print"/>
                    <a:stretch>
                      <a:fillRect/>
                    </a:stretch>
                  </pic:blipFill>
                  <pic:spPr>
                    <a:xfrm>
                      <a:off x="0" y="0"/>
                      <a:ext cx="1759038" cy="420640"/>
                    </a:xfrm>
                    <a:prstGeom prst="rect">
                      <a:avLst/>
                    </a:prstGeom>
                  </pic:spPr>
                </pic:pic>
              </a:graphicData>
            </a:graphic>
          </wp:inline>
        </w:drawing>
      </w:r>
      <w:r>
        <w:rPr>
          <w:noProof/>
        </w:rPr>
        <w:drawing>
          <wp:inline distT="0" distB="0" distL="0" distR="0">
            <wp:extent cx="999744" cy="409575"/>
            <wp:effectExtent l="19050" t="0" r="0" b="0"/>
            <wp:docPr id="5" name="Image 4" descr="logo-asptt-b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sptt-bad1.png"/>
                    <pic:cNvPicPr/>
                  </pic:nvPicPr>
                  <pic:blipFill>
                    <a:blip r:embed="rId8" cstate="print"/>
                    <a:stretch>
                      <a:fillRect/>
                    </a:stretch>
                  </pic:blipFill>
                  <pic:spPr>
                    <a:xfrm>
                      <a:off x="0" y="0"/>
                      <a:ext cx="999619" cy="409524"/>
                    </a:xfrm>
                    <a:prstGeom prst="rect">
                      <a:avLst/>
                    </a:prstGeom>
                  </pic:spPr>
                </pic:pic>
              </a:graphicData>
            </a:graphic>
          </wp:inline>
        </w:drawing>
      </w:r>
    </w:p>
    <w:p w:rsidR="0050152F" w:rsidRDefault="0050152F" w:rsidP="0050152F">
      <w:pPr>
        <w:jc w:val="center"/>
        <w:rPr>
          <w:rFonts w:ascii="Monotype Corsiva" w:hAnsi="Monotype Corsiva"/>
        </w:rPr>
      </w:pPr>
    </w:p>
    <w:p w:rsidR="0050152F" w:rsidRDefault="0050152F" w:rsidP="0050152F"/>
    <w:p w:rsidR="004A2B2C" w:rsidRDefault="004A2B2C"/>
    <w:sectPr w:rsidR="004A2B2C" w:rsidSect="00555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132A3"/>
    <w:multiLevelType w:val="hybridMultilevel"/>
    <w:tmpl w:val="4BC2B76A"/>
    <w:lvl w:ilvl="0" w:tplc="6ED8DB44">
      <w:start w:val="3"/>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67B02628"/>
    <w:multiLevelType w:val="hybridMultilevel"/>
    <w:tmpl w:val="2C7044C8"/>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0152F"/>
    <w:rsid w:val="000A7203"/>
    <w:rsid w:val="000F3699"/>
    <w:rsid w:val="00110B5D"/>
    <w:rsid w:val="001C7D82"/>
    <w:rsid w:val="00262683"/>
    <w:rsid w:val="00282767"/>
    <w:rsid w:val="002A140B"/>
    <w:rsid w:val="002B48CE"/>
    <w:rsid w:val="002C433C"/>
    <w:rsid w:val="002D5577"/>
    <w:rsid w:val="00380B73"/>
    <w:rsid w:val="0038367E"/>
    <w:rsid w:val="00391DFA"/>
    <w:rsid w:val="004866A3"/>
    <w:rsid w:val="004A2B2C"/>
    <w:rsid w:val="004B793B"/>
    <w:rsid w:val="0050152F"/>
    <w:rsid w:val="005527CD"/>
    <w:rsid w:val="00573B25"/>
    <w:rsid w:val="005837DC"/>
    <w:rsid w:val="005D6BCD"/>
    <w:rsid w:val="005E5443"/>
    <w:rsid w:val="006322E1"/>
    <w:rsid w:val="006C5275"/>
    <w:rsid w:val="006C79C2"/>
    <w:rsid w:val="006F0E8B"/>
    <w:rsid w:val="00780FBB"/>
    <w:rsid w:val="007A31F5"/>
    <w:rsid w:val="008549C1"/>
    <w:rsid w:val="00867440"/>
    <w:rsid w:val="008B4F2F"/>
    <w:rsid w:val="008F3CA3"/>
    <w:rsid w:val="009053FB"/>
    <w:rsid w:val="00960CCB"/>
    <w:rsid w:val="009C55C1"/>
    <w:rsid w:val="00A25FDA"/>
    <w:rsid w:val="00A27039"/>
    <w:rsid w:val="00A732DF"/>
    <w:rsid w:val="00A836E7"/>
    <w:rsid w:val="00AA7906"/>
    <w:rsid w:val="00AE7861"/>
    <w:rsid w:val="00AE7F0E"/>
    <w:rsid w:val="00AF1DAA"/>
    <w:rsid w:val="00B46BC3"/>
    <w:rsid w:val="00B57E23"/>
    <w:rsid w:val="00BC3F70"/>
    <w:rsid w:val="00D231EE"/>
    <w:rsid w:val="00D470BD"/>
    <w:rsid w:val="00D64E5E"/>
    <w:rsid w:val="00D76255"/>
    <w:rsid w:val="00DA003D"/>
    <w:rsid w:val="00E26935"/>
    <w:rsid w:val="00F54465"/>
    <w:rsid w:val="00F90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8AEF"/>
  <w15:docId w15:val="{58ED76FA-84C6-4202-9D22-280A1E1D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2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52F"/>
    <w:pPr>
      <w:ind w:left="720"/>
      <w:contextualSpacing/>
    </w:pPr>
  </w:style>
  <w:style w:type="paragraph" w:styleId="Textedebulles">
    <w:name w:val="Balloon Text"/>
    <w:basedOn w:val="Normal"/>
    <w:link w:val="TextedebullesCar"/>
    <w:uiPriority w:val="99"/>
    <w:semiHidden/>
    <w:unhideWhenUsed/>
    <w:rsid w:val="002B48CE"/>
    <w:rPr>
      <w:rFonts w:ascii="Tahoma" w:hAnsi="Tahoma" w:cs="Tahoma"/>
      <w:sz w:val="16"/>
      <w:szCs w:val="16"/>
    </w:rPr>
  </w:style>
  <w:style w:type="character" w:customStyle="1" w:styleId="TextedebullesCar">
    <w:name w:val="Texte de bulles Car"/>
    <w:basedOn w:val="Policepardfaut"/>
    <w:link w:val="Textedebulles"/>
    <w:uiPriority w:val="99"/>
    <w:semiHidden/>
    <w:rsid w:val="002B48CE"/>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616</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Copabad</cp:lastModifiedBy>
  <cp:revision>38</cp:revision>
  <dcterms:created xsi:type="dcterms:W3CDTF">2017-11-28T18:57:00Z</dcterms:created>
  <dcterms:modified xsi:type="dcterms:W3CDTF">2021-11-15T17:03:00Z</dcterms:modified>
</cp:coreProperties>
</file>